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center"/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</w:rPr>
      </w:pPr>
      <w:bookmarkStart w:id="0" w:name="_GoBack"/>
      <w:bookmarkEnd w:id="0"/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 xml:space="preserve">عنوان درس :" </w:t>
      </w:r>
      <w:r w:rsidRPr="009D382D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پ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شگ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از چاق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د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 xml:space="preserve">ر </w:t>
      </w:r>
      <w:r w:rsidRPr="009D382D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شرا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ط</w:t>
      </w:r>
      <w:r w:rsidRPr="009D382D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خاص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"</w:t>
      </w:r>
    </w:p>
    <w:p w:rsidR="009D382D" w:rsidRPr="009D382D" w:rsidRDefault="007D48AB" w:rsidP="009D382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سرفصل دروس:</w:t>
      </w:r>
    </w:p>
    <w:p w:rsidR="009D382D" w:rsidRPr="009D382D" w:rsidRDefault="009D382D" w:rsidP="009D382D">
      <w:pPr>
        <w:numPr>
          <w:ilvl w:val="0"/>
          <w:numId w:val="3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پ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کودکان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358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ش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وع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س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 کودکان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در دن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ران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             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تعر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ف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طبقه بند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کودکان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تع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عوامل خطر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کودکان (ژنت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، رفتارهای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فرد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ی، عوامل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محی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ط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اجتماع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اقتصاد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)</w:t>
      </w:r>
    </w:p>
    <w:p w:rsidR="009D382D" w:rsidRPr="009D382D" w:rsidRDefault="009D382D" w:rsidP="009D382D">
      <w:pPr>
        <w:numPr>
          <w:ilvl w:val="0"/>
          <w:numId w:val="3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شاخصهای تعیین چاقی در گروههای مختلف</w:t>
      </w:r>
    </w:p>
    <w:p w:rsidR="009D382D" w:rsidRPr="009D382D" w:rsidRDefault="009D382D" w:rsidP="009D382D">
      <w:pPr>
        <w:numPr>
          <w:ilvl w:val="0"/>
          <w:numId w:val="3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پ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در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نوجوانان</w:t>
      </w:r>
    </w:p>
    <w:p w:rsidR="009D382D" w:rsidRPr="009D382D" w:rsidRDefault="009D382D" w:rsidP="009D382D">
      <w:pPr>
        <w:numPr>
          <w:ilvl w:val="0"/>
          <w:numId w:val="3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پ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در سن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بارور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باردار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              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ش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رده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9D382D" w:rsidRPr="009D382D" w:rsidRDefault="009D382D" w:rsidP="009D382D">
      <w:pPr>
        <w:numPr>
          <w:ilvl w:val="0"/>
          <w:numId w:val="2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پ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در سالمند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9D382D" w:rsidRPr="009D382D" w:rsidRDefault="009D382D" w:rsidP="009D382D">
      <w:pPr>
        <w:numPr>
          <w:ilvl w:val="0"/>
          <w:numId w:val="2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پ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در گروهها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شغلی مستعد</w:t>
      </w:r>
    </w:p>
    <w:p w:rsidR="009D382D" w:rsidRPr="009D382D" w:rsidRDefault="009D382D" w:rsidP="009D382D">
      <w:pPr>
        <w:numPr>
          <w:ilvl w:val="0"/>
          <w:numId w:val="2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پ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شرایط جسمی خاص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در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افراد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معلول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جسم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ذهن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9D382D" w:rsidRPr="009D382D" w:rsidRDefault="009D382D" w:rsidP="001C0D07">
      <w:pPr>
        <w:pBdr>
          <w:bottom w:val="single" w:sz="4" w:space="1" w:color="auto"/>
        </w:pBd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در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ب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 w:hint="eastAsia"/>
          <w:sz w:val="24"/>
          <w:szCs w:val="24"/>
          <w:rtl/>
        </w:rPr>
        <w:t>ماران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خاص و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داروها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 خاص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D382D" w:rsidRPr="009D382D" w:rsidRDefault="009D382D" w:rsidP="009D382D">
      <w:pPr>
        <w:tabs>
          <w:tab w:val="left" w:pos="281"/>
        </w:tabs>
        <w:spacing w:after="0" w:line="240" w:lineRule="auto"/>
        <w:ind w:left="-2"/>
        <w:jc w:val="center"/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عنوان</w:t>
      </w:r>
      <w:r w:rsidRPr="009D382D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درس: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"</w:t>
      </w:r>
      <w:r w:rsidRPr="009D382D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استراتژيهاي ارتقاء سلامت</w:t>
      </w:r>
      <w:r w:rsidRPr="009D382D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 xml:space="preserve">  و پیشگیری از چاقی"</w:t>
      </w:r>
    </w:p>
    <w:p w:rsidR="009D382D" w:rsidRPr="009D382D" w:rsidRDefault="009D382D" w:rsidP="009D382D">
      <w:p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D382D" w:rsidRPr="009D382D" w:rsidRDefault="009D382D" w:rsidP="002B4EAC">
      <w:p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سرفصل دروس: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انواع مداخلات ارتقاء سلامت در سطوح مختلف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روشها</w:t>
      </w:r>
      <w:r w:rsidR="0053032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واستراتژيهاي مختلف ارتقاء سلامت</w:t>
      </w:r>
      <w:r w:rsidRPr="009D382D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ملاک هاي انتخاب استراتژي مناسب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مداخلات جامعه محور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بسيج جامعه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مشارکت جامعه و بخش خصوصي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سياستگذاري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مداخله در سطح فردي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آموزش بهداشت</w:t>
      </w:r>
      <w:r w:rsidRPr="009D382D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مداخله در گروهها و سازمان ها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مداخلات رسانه محور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اصلاح قوانين و سياست ها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تشکيل تيم مداخله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تبل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غ و حمايت همه جانبه</w:t>
      </w:r>
      <w:r w:rsidRPr="009D382D">
        <w:rPr>
          <w:rFonts w:ascii="Times New Roman" w:eastAsia="Times New Roman" w:hAnsi="Times New Roman" w:cs="B Nazanin"/>
          <w:sz w:val="24"/>
          <w:szCs w:val="24"/>
        </w:rPr>
        <w:t xml:space="preserve">  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اصول و ويژگيهاي روشهاواستراتژيهاي موفق ارتقاء سلامت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تجارب موفق ساير کشورها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حوزه ارتقاء سلامت و پیشگیری از چاقی</w:t>
      </w:r>
    </w:p>
    <w:p w:rsidR="009D382D" w:rsidRPr="009D382D" w:rsidRDefault="009D382D" w:rsidP="009D382D">
      <w:pPr>
        <w:numPr>
          <w:ilvl w:val="0"/>
          <w:numId w:val="4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 xml:space="preserve">نقش قوانين و سياستها بر سلامت جامعه </w:t>
      </w:r>
      <w:r w:rsidRPr="009D38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پیشگیری از چاقی </w:t>
      </w: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شامل سياستها و قوانين بازرگاني ، اقتصادي، تبليغاتي، بيمه، راهنمايي و رانندگي، دخانيات، توليد و بخش مواد غذايي</w:t>
      </w:r>
    </w:p>
    <w:p w:rsidR="009D382D" w:rsidRPr="009D382D" w:rsidRDefault="009D382D" w:rsidP="002B4EAC">
      <w:pPr>
        <w:numPr>
          <w:ilvl w:val="0"/>
          <w:numId w:val="4"/>
        </w:numPr>
        <w:pBdr>
          <w:bottom w:val="single" w:sz="4" w:space="1" w:color="auto"/>
        </w:pBd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D382D">
        <w:rPr>
          <w:rFonts w:ascii="Times New Roman" w:eastAsia="Times New Roman" w:hAnsi="Times New Roman" w:cs="B Nazanin"/>
          <w:sz w:val="24"/>
          <w:szCs w:val="24"/>
          <w:rtl/>
        </w:rPr>
        <w:t>فرآيند وضع سياستها و قوانين و عوامل مؤثر بر اين فرآيند</w:t>
      </w:r>
    </w:p>
    <w:p w:rsidR="00F246A3" w:rsidRPr="00F246A3" w:rsidRDefault="00F246A3" w:rsidP="00F246A3">
      <w:pPr>
        <w:tabs>
          <w:tab w:val="left" w:pos="281"/>
        </w:tabs>
        <w:spacing w:after="0" w:line="240" w:lineRule="auto"/>
        <w:ind w:left="-2"/>
        <w:jc w:val="center"/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lastRenderedPageBreak/>
        <w:t xml:space="preserve">عنوان درس: " </w:t>
      </w:r>
      <w:r w:rsidRPr="00F246A3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تشخ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ص</w:t>
      </w:r>
      <w:r w:rsidRPr="00F246A3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و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درمان چاق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و پ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شگ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از عوارض آن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"</w:t>
      </w:r>
    </w:p>
    <w:p w:rsidR="00F246A3" w:rsidRPr="00F246A3" w:rsidRDefault="00F246A3" w:rsidP="002B4EAC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سرفصل دروس: 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تشخ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ص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ارزیابی های اولیه در افراد چاق 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محدودیتهای تشخیصی در افراد چاق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علل ثانویه چاقی و نحوه برخورد با آن</w:t>
      </w:r>
    </w:p>
    <w:p w:rsidR="00F246A3" w:rsidRPr="00F246A3" w:rsidRDefault="00F246A3" w:rsidP="00F246A3">
      <w:p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246A3" w:rsidRPr="00F246A3" w:rsidRDefault="00F246A3" w:rsidP="002B4EAC">
      <w:p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درمان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ی: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درگروهها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سن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مختلف</w:t>
      </w:r>
    </w:p>
    <w:p w:rsidR="00F246A3" w:rsidRPr="00F246A3" w:rsidRDefault="00F246A3" w:rsidP="0087420A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درمانها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حما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(تغذ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ه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، روان، ورزش)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دارو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درمان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اقدامات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کم تهاجم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اقدامات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غ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رجراح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(آندوسکوپ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اقدامات موضع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)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اقدامات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جراح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: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درمانها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موضع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، جراح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تر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)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عوارض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جسم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(د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ابت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، بیماریهای قلبی عروقی، فشار خون بالا، هایپرلیپیدمی، کبد چرب، مشکلات اسکلتی عضلانی، اختلالات هورمونی و باروری در زنان و مردان، سرطان)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روان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شناختی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گروه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درمان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درمان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ونقش ت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-درمان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درمان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                       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روشها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مختلف درمان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عوارض هر 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اهم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استفاده به جا از هر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از روش ها     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عوارض روشهای مختلف درمان چاقی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آشنایی با روشهای درمانی طب مکمل در درمان چاقی</w:t>
      </w:r>
    </w:p>
    <w:p w:rsidR="00F246A3" w:rsidRPr="00F246A3" w:rsidRDefault="00F246A3" w:rsidP="00F246A3">
      <w:pPr>
        <w:numPr>
          <w:ilvl w:val="0"/>
          <w:numId w:val="5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اشنایی با روشهای درمانی موضعی چاقی و اثر بخشی آن</w:t>
      </w:r>
    </w:p>
    <w:p w:rsidR="00F246A3" w:rsidRPr="00F246A3" w:rsidRDefault="00F246A3" w:rsidP="002B4EAC">
      <w:pPr>
        <w:pBdr>
          <w:bottom w:val="single" w:sz="4" w:space="1" w:color="auto"/>
        </w:pBd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246A3" w:rsidRPr="00F246A3" w:rsidRDefault="00F246A3" w:rsidP="00F246A3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246A3" w:rsidRPr="00F246A3" w:rsidRDefault="00F246A3" w:rsidP="00F246A3">
      <w:pPr>
        <w:tabs>
          <w:tab w:val="left" w:pos="281"/>
        </w:tabs>
        <w:spacing w:after="0" w:line="240" w:lineRule="auto"/>
        <w:ind w:left="-2"/>
        <w:jc w:val="center"/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عنوان درس:"اپيدميولوژي چاقی و بيماريهاي غيرواگير"</w:t>
      </w:r>
    </w:p>
    <w:p w:rsidR="00F246A3" w:rsidRPr="00F246A3" w:rsidRDefault="00F246A3" w:rsidP="00F246A3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highlight w:val="yellow"/>
          <w:rtl/>
        </w:rPr>
      </w:pPr>
    </w:p>
    <w:p w:rsidR="00F246A3" w:rsidRPr="00F246A3" w:rsidRDefault="00F246A3" w:rsidP="002B4EAC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سرفصل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دروس: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کل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ات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اپ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دم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ولوژ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مار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غ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واگ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  <w:t xml:space="preserve">  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  <w:t xml:space="preserve">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ش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وع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س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آن در جهان و 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ران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: گروه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سن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جنس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مناطق و ز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مناطق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  <w:t xml:space="preserve">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بار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</w:t>
      </w:r>
      <w:r w:rsidRPr="00F246A3">
        <w:rPr>
          <w:rFonts w:ascii="Times New Roman" w:eastAsia="Times New Roman" w:hAnsi="Times New Roman" w:cs="B Nazanin"/>
          <w:sz w:val="24"/>
          <w:szCs w:val="24"/>
        </w:rPr>
        <w:t>cost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ران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جهان                                                    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ش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وع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عوارض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ب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مار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مرتبط با آن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ab/>
        <w:t xml:space="preserve">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اپ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دم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ولوژ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سبک زندگ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ناسالم ( کاهش فعال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ف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ز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رژ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غذا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ناصح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) در جهان و 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ران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مفهوم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عل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روابط عل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معلول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ب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مار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غ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واگ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                         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آشنايي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انواع گا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دلا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نها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پروتکل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نحوه مراجعه به آنها                 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برنامه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کشور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حوزه کنترل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عوارض آن                      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سطح بند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خدمات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نظام سلامت                                     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نهاد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مسوول و ارگانها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ذ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نفع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موثر در کنترل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                 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lastRenderedPageBreak/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ملاحظات خاص اپ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دم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ولوژ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 مطالعات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مثل </w:t>
      </w:r>
      <w:r w:rsidRPr="00F246A3">
        <w:rPr>
          <w:rFonts w:ascii="Times New Roman" w:eastAsia="Times New Roman" w:hAnsi="Times New Roman" w:cs="B Nazanin"/>
          <w:sz w:val="24"/>
          <w:szCs w:val="24"/>
        </w:rPr>
        <w:t>cohort effect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, ..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غربالگر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لازم درافراد چاق در سن و جنس مختلف                                                            </w:t>
      </w:r>
    </w:p>
    <w:p w:rsidR="00F246A3" w:rsidRPr="00F246A3" w:rsidRDefault="00F246A3" w:rsidP="00F246A3">
      <w:pPr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آشنا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با تعار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ف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مع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ارها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مختلف تشخ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ص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حساس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و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ژگ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آنها و نحوه اندازه 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استاندارد شاخص 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                                                                                                         </w:t>
      </w:r>
    </w:p>
    <w:p w:rsidR="00F246A3" w:rsidRPr="00F246A3" w:rsidRDefault="00F246A3" w:rsidP="002B4EAC">
      <w:pPr>
        <w:pBdr>
          <w:bottom w:val="single" w:sz="4" w:space="1" w:color="auto"/>
        </w:pBd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B4EAC" w:rsidRDefault="002B4EAC" w:rsidP="00F246A3">
      <w:pPr>
        <w:tabs>
          <w:tab w:val="left" w:pos="281"/>
          <w:tab w:val="left" w:pos="603"/>
        </w:tabs>
        <w:spacing w:after="0" w:line="240" w:lineRule="auto"/>
        <w:ind w:left="-2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246A3" w:rsidRPr="00F246A3" w:rsidRDefault="00F246A3" w:rsidP="00F246A3">
      <w:pPr>
        <w:tabs>
          <w:tab w:val="left" w:pos="281"/>
          <w:tab w:val="left" w:pos="603"/>
        </w:tabs>
        <w:spacing w:after="0" w:line="240" w:lineRule="auto"/>
        <w:ind w:left="-2"/>
        <w:jc w:val="center"/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عنوان درس:" </w:t>
      </w:r>
      <w:r w:rsidRPr="00F246A3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چاقی و سبک زندگی سالم</w:t>
      </w:r>
      <w:r w:rsidRPr="00F246A3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"</w:t>
      </w:r>
    </w:p>
    <w:p w:rsidR="00F246A3" w:rsidRPr="00F246A3" w:rsidRDefault="00F246A3" w:rsidP="005402FD">
      <w:pPr>
        <w:tabs>
          <w:tab w:val="left" w:pos="281"/>
          <w:tab w:val="left" w:pos="603"/>
        </w:tabs>
        <w:spacing w:after="0" w:line="240" w:lineRule="auto"/>
        <w:ind w:left="-2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سرفصل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دروس: 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تعريف و ابعاد سبك زندگي سالم و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ارتقاء سلامت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اصول پايه اي در شكل گيري سبك زندگي سالم و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ارتقاء سلامت 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گذ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ر اپيدميولوژي و ارتقاء سلامت و سبك زندگي سالم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ديدگاههاي اساسي 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سبك زندگي سالم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سلامت و سبك زندگي سالم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ابعاد شكل گيري سبك زندگي سالم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ارتقاء سلامت  و سبك زندگي سالم در گروهها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خاص جنس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و سن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(كودكان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جوانان،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زنان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)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تغذيه سالم و پ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از تغ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246A3">
        <w:rPr>
          <w:rFonts w:ascii="Times New Roman" w:eastAsia="Times New Roman" w:hAnsi="Times New Roman" w:cs="B Nazanin" w:hint="eastAsia"/>
          <w:sz w:val="24"/>
          <w:szCs w:val="24"/>
          <w:rtl/>
        </w:rPr>
        <w:t>رات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نامناسب وزن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ورزش و سبك زندگي سالم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ارتقاء سلامت و پيشگيري از بيماري هاي مربوط به سبك زندگي (ايدز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بيماريهاي قلبي عروقي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سرطانها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و .</w:t>
      </w: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..) 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>آموزش بيمار و  سبك زندگي سالم</w:t>
      </w:r>
    </w:p>
    <w:p w:rsidR="00F246A3" w:rsidRPr="00F246A3" w:rsidRDefault="00F246A3" w:rsidP="00F246A3">
      <w:pPr>
        <w:numPr>
          <w:ilvl w:val="0"/>
          <w:numId w:val="8"/>
        </w:numPr>
        <w:tabs>
          <w:tab w:val="left" w:pos="281"/>
          <w:tab w:val="left" w:pos="603"/>
        </w:tabs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 w:hint="cs"/>
          <w:sz w:val="24"/>
          <w:szCs w:val="24"/>
          <w:rtl/>
        </w:rPr>
        <w:t>اختلالات خوردن و رفتارهای خوردن در چاقی</w:t>
      </w:r>
    </w:p>
    <w:p w:rsidR="00F246A3" w:rsidRPr="00F246A3" w:rsidRDefault="00F246A3" w:rsidP="005402FD">
      <w:pPr>
        <w:pBdr>
          <w:bottom w:val="single" w:sz="4" w:space="1" w:color="auto"/>
        </w:pBdr>
        <w:tabs>
          <w:tab w:val="left" w:pos="281"/>
          <w:tab w:val="left" w:pos="603"/>
        </w:tabs>
        <w:spacing w:after="0" w:line="240" w:lineRule="auto"/>
        <w:ind w:left="-2"/>
        <w:rPr>
          <w:rFonts w:ascii="Times New Roman" w:eastAsia="Times New Roman" w:hAnsi="Times New Roman" w:cs="B Nazanin"/>
          <w:sz w:val="24"/>
          <w:szCs w:val="24"/>
          <w:rtl/>
        </w:rPr>
      </w:pPr>
      <w:r w:rsidRPr="00F246A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755517" w:rsidRPr="00755517" w:rsidRDefault="00755517" w:rsidP="00755517">
      <w:pPr>
        <w:tabs>
          <w:tab w:val="left" w:pos="281"/>
          <w:tab w:val="left" w:pos="603"/>
        </w:tabs>
        <w:spacing w:after="0" w:line="240" w:lineRule="auto"/>
        <w:ind w:left="-2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55517" w:rsidRPr="00755517" w:rsidRDefault="00755517" w:rsidP="00755517">
      <w:pPr>
        <w:tabs>
          <w:tab w:val="left" w:pos="281"/>
        </w:tabs>
        <w:spacing w:after="0" w:line="240" w:lineRule="auto"/>
        <w:ind w:left="-2"/>
        <w:jc w:val="center"/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عنوان درس:  نقش عوامل اجتماع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،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Pr="00755517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>فرهنگ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،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Pr="00755517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مح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ط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،</w:t>
      </w:r>
      <w:r w:rsidRPr="00755517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اقتصاد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در پ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شگ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b/>
          <w:bCs/>
          <w:color w:val="C45911" w:themeColor="accent2" w:themeShade="BF"/>
          <w:sz w:val="24"/>
          <w:szCs w:val="24"/>
          <w:rtl/>
        </w:rPr>
        <w:t>ر</w:t>
      </w:r>
      <w:r w:rsidRPr="00755517">
        <w:rPr>
          <w:rFonts w:ascii="Times New Roman" w:eastAsia="Times New Roman" w:hAnsi="Times New Roman" w:cs="B Nazanin" w:hint="cs"/>
          <w:b/>
          <w:bCs/>
          <w:color w:val="C45911" w:themeColor="accent2" w:themeShade="BF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b/>
          <w:bCs/>
          <w:color w:val="C45911" w:themeColor="accent2" w:themeShade="BF"/>
          <w:sz w:val="24"/>
          <w:szCs w:val="24"/>
          <w:rtl/>
        </w:rPr>
        <w:t xml:space="preserve"> از چاق</w:t>
      </w:r>
    </w:p>
    <w:p w:rsidR="00755517" w:rsidRPr="00755517" w:rsidRDefault="00755517" w:rsidP="00755517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55517" w:rsidRPr="00755517" w:rsidRDefault="00755517" w:rsidP="005402FD">
      <w:pPr>
        <w:tabs>
          <w:tab w:val="left" w:pos="281"/>
        </w:tabs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سرفصل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دروس: 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مؤلفه هاي اجتماعي، فرهنگ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و مح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ط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نقش جنسيت در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 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(سلامت زنان و سلامت مردان)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نقش فرهنگ در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در نژادها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مختلف 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سياست و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نابرابري در ب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ماران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چاق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سطح درآمد و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قوانين، مقررات و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کیفیت زندگی و چاقی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ارزيابي تأثير سياستهاي اجتماعي، اقتصادي و بازرگاني بر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راهکارها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کنترل عوامل اجتماع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،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فرهنگ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،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مح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ط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اقتصاد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مرتبط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چاقی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نقش افراد، گروهها و سازمانها در پ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و ارتقاء سلامت جامعه</w:t>
      </w:r>
    </w:p>
    <w:p w:rsidR="00755517" w:rsidRPr="00755517" w:rsidRDefault="00755517" w:rsidP="00755517">
      <w:pPr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>مشارکت و همکاري بخش خصوصي و سازمانهاي غير بخش سلامت در پ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شگ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از چاق</w:t>
      </w:r>
      <w:r w:rsidRPr="0075551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755517">
        <w:rPr>
          <w:rFonts w:ascii="Times New Roman" w:eastAsia="Times New Roman" w:hAnsi="Times New Roman" w:cs="B Nazanin"/>
          <w:sz w:val="24"/>
          <w:szCs w:val="24"/>
          <w:rtl/>
        </w:rPr>
        <w:t xml:space="preserve"> و ارتقاء سلامت جامعه</w:t>
      </w:r>
    </w:p>
    <w:sectPr w:rsidR="00755517" w:rsidRPr="00755517" w:rsidSect="004B074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6BCC"/>
    <w:multiLevelType w:val="hybridMultilevel"/>
    <w:tmpl w:val="9EC0D50A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125E4A83"/>
    <w:multiLevelType w:val="hybridMultilevel"/>
    <w:tmpl w:val="A25C217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3E568C4"/>
    <w:multiLevelType w:val="hybridMultilevel"/>
    <w:tmpl w:val="61E04D74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25526BCA"/>
    <w:multiLevelType w:val="hybridMultilevel"/>
    <w:tmpl w:val="EF6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1F8C"/>
    <w:multiLevelType w:val="hybridMultilevel"/>
    <w:tmpl w:val="E698F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24FB6"/>
    <w:multiLevelType w:val="hybridMultilevel"/>
    <w:tmpl w:val="98CC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40FC6"/>
    <w:multiLevelType w:val="hybridMultilevel"/>
    <w:tmpl w:val="A9DCE1D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65EE3B3F"/>
    <w:multiLevelType w:val="hybridMultilevel"/>
    <w:tmpl w:val="6428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00E7"/>
    <w:multiLevelType w:val="hybridMultilevel"/>
    <w:tmpl w:val="A58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B7"/>
    <w:rsid w:val="001C0D07"/>
    <w:rsid w:val="00214FCC"/>
    <w:rsid w:val="002B4EAC"/>
    <w:rsid w:val="00342DB7"/>
    <w:rsid w:val="004B0745"/>
    <w:rsid w:val="0053032F"/>
    <w:rsid w:val="005402FD"/>
    <w:rsid w:val="00597EEB"/>
    <w:rsid w:val="00755517"/>
    <w:rsid w:val="007D48AB"/>
    <w:rsid w:val="0087420A"/>
    <w:rsid w:val="008B616E"/>
    <w:rsid w:val="009D382D"/>
    <w:rsid w:val="00E10583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06846-2420-4C28-AFAD-77906B6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2FB5-3392-4A6B-A7FB-8F844870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Hajian</dc:creator>
  <cp:lastModifiedBy>gafari</cp:lastModifiedBy>
  <cp:revision>2</cp:revision>
  <dcterms:created xsi:type="dcterms:W3CDTF">2019-03-17T06:13:00Z</dcterms:created>
  <dcterms:modified xsi:type="dcterms:W3CDTF">2019-03-17T06:13:00Z</dcterms:modified>
</cp:coreProperties>
</file>